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20" w:rsidRPr="00CD11BB" w:rsidRDefault="0083431A" w:rsidP="004D087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暨南大學</w:t>
      </w:r>
      <w:r w:rsidR="00C65B20" w:rsidRPr="00CD11BB">
        <w:rPr>
          <w:rFonts w:hint="eastAsia"/>
          <w:b/>
          <w:sz w:val="32"/>
          <w:szCs w:val="32"/>
        </w:rPr>
        <w:t>與安聯</w:t>
      </w:r>
      <w:proofErr w:type="gramStart"/>
      <w:r w:rsidR="00C65B20" w:rsidRPr="00CD11BB">
        <w:rPr>
          <w:rFonts w:hint="eastAsia"/>
          <w:b/>
          <w:sz w:val="32"/>
          <w:szCs w:val="32"/>
        </w:rPr>
        <w:t>人壽鋒鼎通訊處</w:t>
      </w:r>
      <w:proofErr w:type="gramEnd"/>
    </w:p>
    <w:p w:rsidR="00C65B20" w:rsidRPr="00CD11BB" w:rsidRDefault="00C65B20" w:rsidP="00CD11BB">
      <w:pPr>
        <w:jc w:val="center"/>
        <w:rPr>
          <w:b/>
          <w:sz w:val="28"/>
          <w:szCs w:val="28"/>
        </w:rPr>
      </w:pPr>
      <w:r w:rsidRPr="00CD11BB">
        <w:rPr>
          <w:rFonts w:hint="eastAsia"/>
          <w:b/>
          <w:sz w:val="28"/>
          <w:szCs w:val="28"/>
        </w:rPr>
        <w:t>最後一</w:t>
      </w:r>
      <w:proofErr w:type="gramStart"/>
      <w:r w:rsidRPr="00CD11BB">
        <w:rPr>
          <w:rFonts w:hint="eastAsia"/>
          <w:b/>
          <w:sz w:val="28"/>
          <w:szCs w:val="28"/>
        </w:rPr>
        <w:t>哩路實習</w:t>
      </w:r>
      <w:proofErr w:type="gramEnd"/>
      <w:r w:rsidRPr="00CD11BB">
        <w:rPr>
          <w:rFonts w:hint="eastAsia"/>
          <w:b/>
          <w:sz w:val="28"/>
          <w:szCs w:val="28"/>
        </w:rPr>
        <w:t>計劃書</w:t>
      </w:r>
    </w:p>
    <w:p w:rsidR="00CD11BB" w:rsidRPr="00344206" w:rsidRDefault="00CD11BB">
      <w:pPr>
        <w:rPr>
          <w:b/>
          <w:color w:val="002060"/>
        </w:rPr>
      </w:pPr>
      <w:r w:rsidRPr="00344206">
        <w:rPr>
          <w:rFonts w:hint="eastAsia"/>
          <w:b/>
          <w:color w:val="002060"/>
        </w:rPr>
        <w:t>1.</w:t>
      </w:r>
      <w:r w:rsidRPr="00344206">
        <w:rPr>
          <w:rFonts w:hint="eastAsia"/>
          <w:b/>
          <w:color w:val="002060"/>
        </w:rPr>
        <w:t>實習計畫目標</w:t>
      </w:r>
      <w:r w:rsidRPr="00344206">
        <w:rPr>
          <w:rFonts w:hint="eastAsia"/>
          <w:b/>
          <w:color w:val="002060"/>
        </w:rPr>
        <w:t>:</w:t>
      </w:r>
    </w:p>
    <w:p w:rsidR="00805570" w:rsidRDefault="00DA2D94" w:rsidP="00DA2D94">
      <w:pPr>
        <w:ind w:firstLineChars="200" w:firstLine="480"/>
      </w:pPr>
      <w:r>
        <w:rPr>
          <w:rFonts w:hint="eastAsia"/>
        </w:rPr>
        <w:t>透過與學校的合作讓</w:t>
      </w:r>
      <w:r w:rsidR="00C65B20" w:rsidRPr="00C65B20">
        <w:rPr>
          <w:rFonts w:hint="eastAsia"/>
        </w:rPr>
        <w:t>學生早日培養未來的職</w:t>
      </w:r>
      <w:proofErr w:type="gramStart"/>
      <w:r w:rsidR="00C65B20" w:rsidRPr="00C65B20">
        <w:rPr>
          <w:rFonts w:hint="eastAsia"/>
        </w:rPr>
        <w:t>涯</w:t>
      </w:r>
      <w:proofErr w:type="gramEnd"/>
      <w:r w:rsidR="00C65B20" w:rsidRPr="00C65B20">
        <w:rPr>
          <w:rFonts w:hint="eastAsia"/>
        </w:rPr>
        <w:t>能力，提早探索符合自己志趣的工作，達到畢業即就業的目標。企業</w:t>
      </w:r>
      <w:r>
        <w:rPr>
          <w:rFonts w:hint="eastAsia"/>
        </w:rPr>
        <w:t>與學校</w:t>
      </w:r>
      <w:r w:rsidR="0083431A">
        <w:rPr>
          <w:rFonts w:hint="eastAsia"/>
        </w:rPr>
        <w:t>建立合作關係</w:t>
      </w:r>
      <w:r>
        <w:rPr>
          <w:rFonts w:hint="eastAsia"/>
        </w:rPr>
        <w:t>，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藉由專業培訓，提供青年學子對於</w:t>
      </w:r>
      <w:r>
        <w:rPr>
          <w:rFonts w:ascii="Arial" w:hAnsi="Arial" w:cs="Arial" w:hint="eastAsia"/>
          <w:color w:val="333333"/>
          <w:sz w:val="23"/>
          <w:szCs w:val="23"/>
          <w:shd w:val="clear" w:color="auto" w:fill="FFFFFF"/>
        </w:rPr>
        <w:t>安聯人壽保險股份有限公司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及保險商品、保險行銷流程基礎的認識，體驗保險業務員實務工作、瞭解職場運作。</w:t>
      </w:r>
      <w:r w:rsidR="00C65B20" w:rsidRPr="00C65B20">
        <w:rPr>
          <w:rFonts w:hint="eastAsia"/>
        </w:rPr>
        <w:t>期盼同學都能把握這個機會，將自己培育為立型人才，也期盼同學能透過此次實習的機會，增進自我的專業能力，提升實務上的經驗與技巧。</w:t>
      </w:r>
    </w:p>
    <w:p w:rsidR="00CD11BB" w:rsidRDefault="00CD11BB" w:rsidP="00CD11BB">
      <w:pPr>
        <w:rPr>
          <w:b/>
          <w:color w:val="002060"/>
        </w:rPr>
      </w:pPr>
      <w:r w:rsidRPr="00344206">
        <w:rPr>
          <w:rFonts w:hint="eastAsia"/>
          <w:b/>
          <w:color w:val="002060"/>
        </w:rPr>
        <w:t>2.</w:t>
      </w:r>
      <w:r w:rsidRPr="00344206">
        <w:rPr>
          <w:rFonts w:hint="eastAsia"/>
          <w:b/>
          <w:color w:val="002060"/>
        </w:rPr>
        <w:t>實習計畫課程規劃</w:t>
      </w:r>
    </w:p>
    <w:p w:rsidR="009B4310" w:rsidRDefault="009B4310" w:rsidP="00CD11BB">
      <w:pPr>
        <w:rPr>
          <w:color w:val="002060"/>
        </w:rPr>
      </w:pPr>
      <w:r>
        <w:rPr>
          <w:rFonts w:hint="eastAsia"/>
          <w:color w:val="002060"/>
        </w:rPr>
        <w:t xml:space="preserve">  </w:t>
      </w:r>
      <w:r>
        <w:rPr>
          <w:rFonts w:hint="eastAsia"/>
          <w:color w:val="002060"/>
        </w:rPr>
        <w:t>協助輔導學生考取人身保險證照，投資型證照，外幣證照。</w:t>
      </w:r>
    </w:p>
    <w:p w:rsidR="009B4310" w:rsidRPr="009B4310" w:rsidRDefault="009B4310" w:rsidP="00CD11BB">
      <w:pPr>
        <w:rPr>
          <w:color w:val="002060"/>
        </w:rPr>
      </w:pPr>
      <w:r>
        <w:rPr>
          <w:rFonts w:hint="eastAsia"/>
          <w:color w:val="002060"/>
        </w:rPr>
        <w:t>並透過本公司四大學院給學生教育訓練。</w:t>
      </w:r>
    </w:p>
    <w:p w:rsidR="00344206" w:rsidRDefault="00344206" w:rsidP="00CD11BB">
      <w:pPr>
        <w:rPr>
          <w:b/>
          <w:color w:val="002060"/>
        </w:rPr>
      </w:pPr>
      <w:r w:rsidRPr="00344206">
        <w:rPr>
          <w:rFonts w:hint="eastAsia"/>
          <w:b/>
          <w:color w:val="002060"/>
        </w:rPr>
        <w:t>行銷學院</w:t>
      </w:r>
      <w:r>
        <w:rPr>
          <w:rFonts w:hint="eastAsia"/>
          <w:b/>
          <w:color w:val="002060"/>
        </w:rPr>
        <w:t>:</w:t>
      </w:r>
    </w:p>
    <w:p w:rsidR="00344206" w:rsidRDefault="00344206" w:rsidP="00344206">
      <w:r>
        <w:rPr>
          <w:rFonts w:hint="eastAsia"/>
        </w:rPr>
        <w:t xml:space="preserve">  </w:t>
      </w:r>
      <w:r>
        <w:rPr>
          <w:rFonts w:hint="eastAsia"/>
        </w:rPr>
        <w:t>提供最完整的商品課程及行銷保險觀念課程。除幫助同學建立正確的保險觀念外，並瞭解目前台灣保險市場保險商品內容，將在學校所學與實務作結合，以利同學畢業後的職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發展。</w:t>
      </w:r>
    </w:p>
    <w:p w:rsidR="00344206" w:rsidRDefault="00344206" w:rsidP="00344206"/>
    <w:p w:rsidR="00344206" w:rsidRDefault="00344206" w:rsidP="00344206">
      <w:pPr>
        <w:rPr>
          <w:b/>
          <w:color w:val="002060"/>
        </w:rPr>
      </w:pPr>
      <w:r w:rsidRPr="00344206">
        <w:rPr>
          <w:rFonts w:hint="eastAsia"/>
          <w:b/>
          <w:color w:val="002060"/>
        </w:rPr>
        <w:t>管理學院</w:t>
      </w:r>
    </w:p>
    <w:p w:rsidR="00344206" w:rsidRDefault="00344206" w:rsidP="0008764F">
      <w:pPr>
        <w:ind w:firstLineChars="100" w:firstLine="240"/>
      </w:pPr>
      <w:r>
        <w:rPr>
          <w:rFonts w:hint="eastAsia"/>
        </w:rPr>
        <w:t>安聯人壽為德國安聯集團的成員之一，成立於</w:t>
      </w:r>
      <w:r>
        <w:rPr>
          <w:rFonts w:hint="eastAsia"/>
        </w:rPr>
        <w:t>1995</w:t>
      </w:r>
      <w:r>
        <w:rPr>
          <w:rFonts w:hint="eastAsia"/>
        </w:rPr>
        <w:t>年，是台灣壽險市場投資型</w:t>
      </w:r>
    </w:p>
    <w:p w:rsidR="00344206" w:rsidRPr="00076EC8" w:rsidRDefault="00344206" w:rsidP="00344206">
      <w:r>
        <w:rPr>
          <w:rFonts w:hint="eastAsia"/>
        </w:rPr>
        <w:t>保單的領導品牌及創新者之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</w:t>
      </w:r>
      <w:r w:rsidR="0008764F" w:rsidRPr="00076EC8">
        <w:t>安聯人壽榮獲「</w:t>
      </w:r>
      <w:r w:rsidR="0008764F" w:rsidRPr="00076EC8">
        <w:t>201</w:t>
      </w:r>
      <w:r w:rsidR="0008764F" w:rsidRPr="00076EC8">
        <w:rPr>
          <w:rFonts w:hint="eastAsia"/>
        </w:rPr>
        <w:t>9</w:t>
      </w:r>
      <w:r w:rsidR="0008764F" w:rsidRPr="00076EC8">
        <w:t>亞洲最佳企業雇主獎」</w:t>
      </w:r>
      <w:r w:rsidR="0008764F" w:rsidRPr="00076EC8">
        <w:rPr>
          <w:rFonts w:hint="eastAsia"/>
        </w:rPr>
        <w:t>將員工視為公司重要資產的企業文化，提供豐富多元且具吸引力的工作機會，並重視國際人才的培育與流動。</w:t>
      </w:r>
    </w:p>
    <w:p w:rsidR="00344206" w:rsidRPr="00344206" w:rsidRDefault="00344206" w:rsidP="00CD11BB">
      <w:pPr>
        <w:rPr>
          <w:b/>
          <w:color w:val="002060"/>
        </w:rPr>
      </w:pPr>
    </w:p>
    <w:p w:rsidR="00344206" w:rsidRDefault="00344206" w:rsidP="00344206">
      <w:pPr>
        <w:rPr>
          <w:b/>
          <w:color w:val="002060"/>
        </w:rPr>
      </w:pPr>
      <w:r w:rsidRPr="00344206">
        <w:rPr>
          <w:rFonts w:hint="eastAsia"/>
          <w:b/>
          <w:color w:val="002060"/>
        </w:rPr>
        <w:t>品質學院</w:t>
      </w:r>
      <w:r>
        <w:rPr>
          <w:rFonts w:hint="eastAsia"/>
          <w:b/>
          <w:color w:val="002060"/>
        </w:rPr>
        <w:t>:</w:t>
      </w:r>
    </w:p>
    <w:p w:rsidR="00344206" w:rsidRPr="0008764F" w:rsidRDefault="00344206" w:rsidP="00344206">
      <w:pPr>
        <w:rPr>
          <w:b/>
          <w:color w:val="002060"/>
        </w:rPr>
      </w:pPr>
      <w:r>
        <w:rPr>
          <w:rFonts w:hint="eastAsia"/>
          <w:b/>
          <w:color w:val="002060"/>
        </w:rPr>
        <w:t xml:space="preserve">   </w:t>
      </w:r>
      <w:r>
        <w:rPr>
          <w:rFonts w:hint="eastAsia"/>
        </w:rPr>
        <w:t>以顧客至上的理念，提供客戶創新的產品及</w:t>
      </w:r>
      <w:proofErr w:type="gramStart"/>
      <w:r>
        <w:rPr>
          <w:rFonts w:hint="eastAsia"/>
        </w:rPr>
        <w:t>滿意的</w:t>
      </w:r>
      <w:proofErr w:type="gramEnd"/>
      <w:r>
        <w:rPr>
          <w:rFonts w:hint="eastAsia"/>
        </w:rPr>
        <w:t>服務。擁有國際級保險經驗與豐富的集團資源，致力於多元化的通路發展，並依據客戶需求，提供廣泛的人身保險商品，包含：壽險、意外險及健康險等服務，給予客戶最周全且完整的保障。</w:t>
      </w:r>
    </w:p>
    <w:p w:rsidR="00344206" w:rsidRPr="00344206" w:rsidRDefault="00344206" w:rsidP="00CD11BB">
      <w:pPr>
        <w:rPr>
          <w:b/>
          <w:color w:val="002060"/>
        </w:rPr>
      </w:pPr>
    </w:p>
    <w:p w:rsidR="00344206" w:rsidRDefault="00344206" w:rsidP="00CD11BB">
      <w:pPr>
        <w:rPr>
          <w:b/>
          <w:color w:val="002060"/>
        </w:rPr>
      </w:pPr>
      <w:r w:rsidRPr="00344206">
        <w:rPr>
          <w:rFonts w:hint="eastAsia"/>
          <w:b/>
          <w:color w:val="002060"/>
        </w:rPr>
        <w:t>數位學院</w:t>
      </w:r>
    </w:p>
    <w:p w:rsidR="00344206" w:rsidRPr="00344206" w:rsidRDefault="00344206" w:rsidP="00CD11BB">
      <w:r>
        <w:rPr>
          <w:rFonts w:hint="eastAsia"/>
          <w:b/>
          <w:color w:val="002060"/>
        </w:rPr>
        <w:t xml:space="preserve">   </w:t>
      </w:r>
      <w:r w:rsidRPr="00344206">
        <w:rPr>
          <w:rFonts w:hint="eastAsia"/>
        </w:rPr>
        <w:t>金融科技顛覆傳統金融服務模式，「全面發展數位化」是安聯集團全球的重要營運策略，安聯積極投入</w:t>
      </w:r>
      <w:proofErr w:type="spellStart"/>
      <w:r w:rsidRPr="00344206">
        <w:rPr>
          <w:rFonts w:hint="eastAsia"/>
        </w:rPr>
        <w:t>FinTech</w:t>
      </w:r>
      <w:proofErr w:type="spellEnd"/>
      <w:r w:rsidRPr="00344206">
        <w:rPr>
          <w:rFonts w:hint="eastAsia"/>
        </w:rPr>
        <w:t>，傾注資源全力研發具有前瞻性、指標性的數位工具。首創以客戶需求為導向的擬人化互動需求分析，不僅滿足客戶保障需求，更協助旗下業務員在</w:t>
      </w:r>
      <w:proofErr w:type="spellStart"/>
      <w:r w:rsidRPr="00344206">
        <w:rPr>
          <w:rFonts w:hint="eastAsia"/>
        </w:rPr>
        <w:t>FinTech</w:t>
      </w:r>
      <w:proofErr w:type="spellEnd"/>
      <w:r w:rsidRPr="00344206">
        <w:rPr>
          <w:rFonts w:hint="eastAsia"/>
        </w:rPr>
        <w:t>浪潮裡成功轉型，培訓業務員為專業、高效率的數位壽險顧問，在數位科技時代贏得成功先機，展現無可取代的競爭力！</w:t>
      </w:r>
    </w:p>
    <w:p w:rsidR="00344206" w:rsidRDefault="00344206" w:rsidP="0008764F">
      <w:pPr>
        <w:ind w:firstLineChars="100" w:firstLine="240"/>
      </w:pPr>
      <w:r w:rsidRPr="00344206">
        <w:rPr>
          <w:rFonts w:hint="eastAsia"/>
        </w:rPr>
        <w:t>安聯人壽近年來營運表現優異斐然，在競爭激烈的金融壽險業裡，憑藉精質優異之專業人才、全方位之行銷通路以及多元化之商品平台，屢次展現傲人的企業競爭力</w:t>
      </w:r>
      <w:r w:rsidR="0008764F">
        <w:rPr>
          <w:rFonts w:hint="eastAsia"/>
        </w:rPr>
        <w:t>。</w:t>
      </w:r>
    </w:p>
    <w:p w:rsidR="00DA2D94" w:rsidRPr="00344206" w:rsidRDefault="00CD11BB" w:rsidP="00DA2D94">
      <w:pPr>
        <w:rPr>
          <w:b/>
          <w:color w:val="002060"/>
        </w:rPr>
      </w:pPr>
      <w:r w:rsidRPr="00344206">
        <w:rPr>
          <w:rFonts w:hint="eastAsia"/>
          <w:b/>
          <w:color w:val="002060"/>
        </w:rPr>
        <w:t>3.</w:t>
      </w:r>
      <w:r w:rsidR="00DA2D94" w:rsidRPr="00344206">
        <w:rPr>
          <w:rFonts w:hint="eastAsia"/>
          <w:b/>
          <w:color w:val="002060"/>
        </w:rPr>
        <w:t>專業養成課程</w:t>
      </w:r>
    </w:p>
    <w:p w:rsidR="00DA2D94" w:rsidRDefault="0008764F" w:rsidP="0008764F">
      <w:pPr>
        <w:ind w:firstLineChars="100" w:firstLine="240"/>
      </w:pPr>
      <w:r>
        <w:rPr>
          <w:rFonts w:hint="eastAsia"/>
        </w:rPr>
        <w:lastRenderedPageBreak/>
        <w:t>以講師講授方式進行，幫助同學認識壽險公司商品</w:t>
      </w:r>
      <w:r w:rsidR="00DA2D94">
        <w:rPr>
          <w:rFonts w:hint="eastAsia"/>
        </w:rPr>
        <w:t>，除由本公司內部講師講授外，課程完成後，將對同學測驗，並檢討復習，確保同學學習狀況。</w:t>
      </w:r>
    </w:p>
    <w:p w:rsidR="00DA2D94" w:rsidRDefault="00DA2D94" w:rsidP="00DA2D94">
      <w:r>
        <w:rPr>
          <w:rFonts w:ascii="Calibri" w:hAnsi="Calibri" w:cs="Calibri"/>
        </w:rPr>
        <w:t></w:t>
      </w:r>
      <w:r>
        <w:t xml:space="preserve"> </w:t>
      </w:r>
      <w:r>
        <w:rPr>
          <w:rFonts w:hint="eastAsia"/>
        </w:rPr>
        <w:t>保險分析與規劃課程</w:t>
      </w:r>
      <w:r w:rsidR="00344206">
        <w:rPr>
          <w:rFonts w:hint="eastAsia"/>
        </w:rPr>
        <w:t>讓</w:t>
      </w:r>
      <w:r>
        <w:rPr>
          <w:rFonts w:hint="eastAsia"/>
        </w:rPr>
        <w:t>講師講授保險分析與規劃要點，並在課後提供案例，由同學實作，進行研討，讓同學確實瞭解保險分析與規劃的重點。</w:t>
      </w:r>
    </w:p>
    <w:p w:rsidR="00DA2D94" w:rsidRDefault="00DA2D94" w:rsidP="00DA2D94">
      <w:r>
        <w:rPr>
          <w:rFonts w:ascii="Calibri" w:hAnsi="Calibri" w:cs="Calibri"/>
        </w:rPr>
        <w:t></w:t>
      </w:r>
      <w:r>
        <w:t xml:space="preserve"> </w:t>
      </w:r>
      <w:r>
        <w:rPr>
          <w:rFonts w:hint="eastAsia"/>
        </w:rPr>
        <w:t>實務演練課程保險業是以人為主的事業，縱然擁有再好的專業能力，行銷是不可或缺</w:t>
      </w:r>
    </w:p>
    <w:p w:rsidR="00DA2D94" w:rsidRDefault="00344206" w:rsidP="00DA2D94">
      <w:r>
        <w:rPr>
          <w:rFonts w:hint="eastAsia"/>
        </w:rPr>
        <w:t>的，透過行銷</w:t>
      </w:r>
      <w:r w:rsidR="00DA2D94">
        <w:rPr>
          <w:rFonts w:hint="eastAsia"/>
        </w:rPr>
        <w:t>保險規劃與分析的解說，亦需具備一定的解說技巧，才能讓客戶瞭解保險規劃的重要性與需注意的重點。</w:t>
      </w:r>
    </w:p>
    <w:p w:rsidR="00DA2D94" w:rsidRDefault="00DA2D94" w:rsidP="00DA2D94">
      <w:r>
        <w:rPr>
          <w:rFonts w:ascii="Calibri" w:hAnsi="Calibri" w:cs="Calibri"/>
        </w:rPr>
        <w:t></w:t>
      </w:r>
      <w:r>
        <w:t xml:space="preserve"> </w:t>
      </w:r>
      <w:r>
        <w:rPr>
          <w:rFonts w:hint="eastAsia"/>
        </w:rPr>
        <w:t>保險行銷演練課程</w:t>
      </w:r>
      <w:r w:rsidR="00344206">
        <w:rPr>
          <w:rFonts w:hint="eastAsia"/>
        </w:rPr>
        <w:t>，</w:t>
      </w:r>
      <w:r>
        <w:rPr>
          <w:rFonts w:hint="eastAsia"/>
        </w:rPr>
        <w:t>透過模擬演練，讓同學在真正行銷之前能夠瞭解行銷重點及需要注意的細節，減少同學在行銷時發生錯誤的機會，藉此也可建立同學的行銷信心。</w:t>
      </w:r>
    </w:p>
    <w:p w:rsidR="00344206" w:rsidRDefault="00344206" w:rsidP="00DA2D94"/>
    <w:p w:rsidR="00DA2D94" w:rsidRDefault="0008764F" w:rsidP="00DA2D94">
      <w:r>
        <w:rPr>
          <w:rFonts w:hint="eastAsia"/>
          <w:b/>
          <w:color w:val="002060"/>
        </w:rPr>
        <w:t>4.</w:t>
      </w:r>
      <w:r w:rsidR="00DA2D94" w:rsidRPr="0008764F">
        <w:rPr>
          <w:rFonts w:hint="eastAsia"/>
          <w:b/>
          <w:color w:val="002060"/>
        </w:rPr>
        <w:t>顧問式保單分析</w:t>
      </w:r>
    </w:p>
    <w:p w:rsidR="00DA2D94" w:rsidRDefault="00DA2D94" w:rsidP="0008764F">
      <w:pPr>
        <w:ind w:firstLineChars="100" w:firstLine="240"/>
      </w:pPr>
      <w:r>
        <w:rPr>
          <w:rFonts w:hint="eastAsia"/>
        </w:rPr>
        <w:t>對客戶現有之保險規劃內容進行分析，指出其優缺點，讓客戶瞭解其現有保險規劃之情形，並提出有利且適合客戶的建議。同學實習結束前，需運用自身所學及在本公司習得之技能自行完成</w:t>
      </w:r>
      <w:r w:rsidR="0008764F">
        <w:rPr>
          <w:rFonts w:hint="eastAsia"/>
        </w:rPr>
        <w:t>一份顧問式保單分析發表，展現身為一個壽險顧問</w:t>
      </w:r>
      <w:r>
        <w:rPr>
          <w:rFonts w:hint="eastAsia"/>
        </w:rPr>
        <w:t>應具有之基本能力。</w:t>
      </w:r>
    </w:p>
    <w:p w:rsidR="0008764F" w:rsidRDefault="0008764F" w:rsidP="00C65B20"/>
    <w:p w:rsidR="00C65B20" w:rsidRDefault="00C65B20" w:rsidP="00C65B20">
      <w:pPr>
        <w:rPr>
          <w:color w:val="002060"/>
        </w:rPr>
      </w:pPr>
      <w:r w:rsidRPr="0008764F">
        <w:rPr>
          <w:rFonts w:hint="eastAsia"/>
          <w:color w:val="002060"/>
        </w:rPr>
        <w:t>專業養成課程規劃表：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1825"/>
        <w:gridCol w:w="3404"/>
      </w:tblGrid>
      <w:tr w:rsidR="009B4310" w:rsidTr="0008764F">
        <w:tc>
          <w:tcPr>
            <w:tcW w:w="1825" w:type="dxa"/>
          </w:tcPr>
          <w:p w:rsidR="009B4310" w:rsidRDefault="009B4310" w:rsidP="00C65B20">
            <w:pPr>
              <w:rPr>
                <w:color w:val="002060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825" w:type="dxa"/>
          </w:tcPr>
          <w:p w:rsidR="009B4310" w:rsidRDefault="009B4310" w:rsidP="00C65B20">
            <w:pPr>
              <w:rPr>
                <w:color w:val="002060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3404" w:type="dxa"/>
          </w:tcPr>
          <w:p w:rsidR="009B4310" w:rsidRDefault="009B4310" w:rsidP="00C65B20">
            <w:pPr>
              <w:rPr>
                <w:color w:val="002060"/>
              </w:rPr>
            </w:pPr>
            <w:r>
              <w:rPr>
                <w:rFonts w:hint="eastAsia"/>
              </w:rPr>
              <w:t>課程內容</w:t>
            </w:r>
          </w:p>
        </w:tc>
      </w:tr>
      <w:tr w:rsidR="009B4310" w:rsidTr="0008764F">
        <w:tc>
          <w:tcPr>
            <w:tcW w:w="1825" w:type="dxa"/>
            <w:vMerge w:val="restart"/>
          </w:tcPr>
          <w:p w:rsidR="009B4310" w:rsidRDefault="009B4310" w:rsidP="00C65B2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 xml:space="preserve">   3</w:t>
            </w:r>
            <w:r>
              <w:rPr>
                <w:rFonts w:hint="eastAsia"/>
                <w:color w:val="002060"/>
              </w:rPr>
              <w:t>月份</w:t>
            </w:r>
          </w:p>
          <w:p w:rsidR="009B4310" w:rsidRDefault="009B4310" w:rsidP="00C65B2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9:00-12:00</w:t>
            </w:r>
          </w:p>
          <w:p w:rsidR="009B4310" w:rsidRDefault="009B4310" w:rsidP="00C65B2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早會時間</w:t>
            </w:r>
          </w:p>
        </w:tc>
        <w:tc>
          <w:tcPr>
            <w:tcW w:w="1825" w:type="dxa"/>
          </w:tcPr>
          <w:p w:rsidR="009B4310" w:rsidRDefault="009B4310" w:rsidP="00C65B2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13:30-16:00</w:t>
            </w:r>
          </w:p>
        </w:tc>
        <w:tc>
          <w:tcPr>
            <w:tcW w:w="3404" w:type="dxa"/>
          </w:tcPr>
          <w:p w:rsidR="009B4310" w:rsidRDefault="009B4310" w:rsidP="00C65B2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認識安聯人壽</w:t>
            </w:r>
          </w:p>
        </w:tc>
      </w:tr>
      <w:tr w:rsidR="009B4310" w:rsidTr="0008764F">
        <w:tc>
          <w:tcPr>
            <w:tcW w:w="1825" w:type="dxa"/>
            <w:vMerge/>
          </w:tcPr>
          <w:p w:rsidR="009B4310" w:rsidRDefault="009B4310" w:rsidP="00C65B20">
            <w:pPr>
              <w:rPr>
                <w:color w:val="002060"/>
              </w:rPr>
            </w:pPr>
          </w:p>
        </w:tc>
        <w:tc>
          <w:tcPr>
            <w:tcW w:w="1825" w:type="dxa"/>
          </w:tcPr>
          <w:p w:rsidR="009B4310" w:rsidRDefault="009B4310" w:rsidP="00C65B2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13:30-16:00</w:t>
            </w:r>
          </w:p>
        </w:tc>
        <w:tc>
          <w:tcPr>
            <w:tcW w:w="3404" w:type="dxa"/>
          </w:tcPr>
          <w:p w:rsidR="009B4310" w:rsidRDefault="009B4310" w:rsidP="00C65B20">
            <w:pPr>
              <w:rPr>
                <w:color w:val="002060"/>
              </w:rPr>
            </w:pPr>
            <w:r>
              <w:rPr>
                <w:rFonts w:hint="eastAsia"/>
              </w:rPr>
              <w:t>應具備的保險觀念</w:t>
            </w:r>
          </w:p>
        </w:tc>
      </w:tr>
      <w:tr w:rsidR="009B4310" w:rsidTr="0008764F">
        <w:tc>
          <w:tcPr>
            <w:tcW w:w="1825" w:type="dxa"/>
            <w:vMerge/>
          </w:tcPr>
          <w:p w:rsidR="009B4310" w:rsidRDefault="009B4310" w:rsidP="00C65B20">
            <w:pPr>
              <w:rPr>
                <w:color w:val="002060"/>
              </w:rPr>
            </w:pPr>
          </w:p>
        </w:tc>
        <w:tc>
          <w:tcPr>
            <w:tcW w:w="1825" w:type="dxa"/>
          </w:tcPr>
          <w:p w:rsidR="009B4310" w:rsidRDefault="009B4310" w:rsidP="00C65B2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13:30-16:00</w:t>
            </w:r>
          </w:p>
        </w:tc>
        <w:tc>
          <w:tcPr>
            <w:tcW w:w="3404" w:type="dxa"/>
          </w:tcPr>
          <w:p w:rsidR="009B4310" w:rsidRDefault="009B4310" w:rsidP="00C65B20">
            <w:pPr>
              <w:rPr>
                <w:color w:val="002060"/>
              </w:rPr>
            </w:pPr>
            <w:r>
              <w:rPr>
                <w:rFonts w:hint="eastAsia"/>
              </w:rPr>
              <w:t>醫療險商品內容與條款</w:t>
            </w:r>
          </w:p>
        </w:tc>
      </w:tr>
      <w:tr w:rsidR="009B4310" w:rsidTr="0008764F">
        <w:tc>
          <w:tcPr>
            <w:tcW w:w="1825" w:type="dxa"/>
            <w:vMerge/>
          </w:tcPr>
          <w:p w:rsidR="009B4310" w:rsidRDefault="009B4310" w:rsidP="00C65B20">
            <w:pPr>
              <w:rPr>
                <w:color w:val="002060"/>
              </w:rPr>
            </w:pPr>
          </w:p>
        </w:tc>
        <w:tc>
          <w:tcPr>
            <w:tcW w:w="1825" w:type="dxa"/>
          </w:tcPr>
          <w:p w:rsidR="009B4310" w:rsidRDefault="009B4310" w:rsidP="00C65B2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13:30-16:00</w:t>
            </w:r>
          </w:p>
        </w:tc>
        <w:tc>
          <w:tcPr>
            <w:tcW w:w="3404" w:type="dxa"/>
          </w:tcPr>
          <w:p w:rsidR="009B4310" w:rsidRDefault="009B4310" w:rsidP="0008764F">
            <w:pPr>
              <w:rPr>
                <w:color w:val="002060"/>
              </w:rPr>
            </w:pPr>
            <w:r>
              <w:rPr>
                <w:rFonts w:hint="eastAsia"/>
              </w:rPr>
              <w:t>醫療險商品內容與條款</w:t>
            </w:r>
          </w:p>
        </w:tc>
      </w:tr>
      <w:tr w:rsidR="009B4310" w:rsidTr="0008764F">
        <w:tc>
          <w:tcPr>
            <w:tcW w:w="1825" w:type="dxa"/>
            <w:vMerge/>
          </w:tcPr>
          <w:p w:rsidR="009B4310" w:rsidRDefault="009B4310" w:rsidP="00B42710">
            <w:pPr>
              <w:rPr>
                <w:color w:val="002060"/>
              </w:rPr>
            </w:pPr>
          </w:p>
        </w:tc>
        <w:tc>
          <w:tcPr>
            <w:tcW w:w="1825" w:type="dxa"/>
          </w:tcPr>
          <w:p w:rsidR="009B4310" w:rsidRDefault="009B4310" w:rsidP="00B427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13:30-16:00</w:t>
            </w:r>
          </w:p>
        </w:tc>
        <w:tc>
          <w:tcPr>
            <w:tcW w:w="3404" w:type="dxa"/>
          </w:tcPr>
          <w:p w:rsidR="009B4310" w:rsidRDefault="009B4310" w:rsidP="0008764F">
            <w:pPr>
              <w:rPr>
                <w:color w:val="002060"/>
              </w:rPr>
            </w:pPr>
            <w:r>
              <w:rPr>
                <w:rFonts w:hint="eastAsia"/>
              </w:rPr>
              <w:t>健康險商品內容與條款</w:t>
            </w:r>
          </w:p>
        </w:tc>
      </w:tr>
      <w:tr w:rsidR="009B4310" w:rsidTr="0008764F">
        <w:tc>
          <w:tcPr>
            <w:tcW w:w="1825" w:type="dxa"/>
            <w:vMerge w:val="restart"/>
          </w:tcPr>
          <w:p w:rsidR="009B4310" w:rsidRDefault="009B4310" w:rsidP="009B43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4</w:t>
            </w:r>
            <w:r>
              <w:rPr>
                <w:rFonts w:hint="eastAsia"/>
                <w:color w:val="002060"/>
              </w:rPr>
              <w:t>月份</w:t>
            </w:r>
          </w:p>
          <w:p w:rsidR="009B4310" w:rsidRDefault="009B4310" w:rsidP="009B43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9:00-12:00</w:t>
            </w:r>
          </w:p>
          <w:p w:rsidR="009B4310" w:rsidRDefault="009B4310" w:rsidP="009B43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早會時間</w:t>
            </w:r>
          </w:p>
        </w:tc>
        <w:tc>
          <w:tcPr>
            <w:tcW w:w="1825" w:type="dxa"/>
          </w:tcPr>
          <w:p w:rsidR="009B4310" w:rsidRDefault="009B4310" w:rsidP="00B427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13:30-16:00</w:t>
            </w:r>
          </w:p>
        </w:tc>
        <w:tc>
          <w:tcPr>
            <w:tcW w:w="3404" w:type="dxa"/>
          </w:tcPr>
          <w:p w:rsidR="009B4310" w:rsidRDefault="009B4310" w:rsidP="00B42710">
            <w:pPr>
              <w:rPr>
                <w:color w:val="002060"/>
              </w:rPr>
            </w:pPr>
            <w:r>
              <w:rPr>
                <w:rFonts w:hint="eastAsia"/>
              </w:rPr>
              <w:t>勞保公保退休制度</w:t>
            </w:r>
          </w:p>
        </w:tc>
      </w:tr>
      <w:tr w:rsidR="009B4310" w:rsidTr="0008764F">
        <w:tc>
          <w:tcPr>
            <w:tcW w:w="1825" w:type="dxa"/>
            <w:vMerge/>
          </w:tcPr>
          <w:p w:rsidR="009B4310" w:rsidRDefault="009B4310" w:rsidP="00B42710">
            <w:pPr>
              <w:rPr>
                <w:color w:val="002060"/>
              </w:rPr>
            </w:pPr>
          </w:p>
        </w:tc>
        <w:tc>
          <w:tcPr>
            <w:tcW w:w="1825" w:type="dxa"/>
          </w:tcPr>
          <w:p w:rsidR="009B4310" w:rsidRDefault="009B4310" w:rsidP="00B427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13:30-16:00</w:t>
            </w:r>
          </w:p>
        </w:tc>
        <w:tc>
          <w:tcPr>
            <w:tcW w:w="3404" w:type="dxa"/>
          </w:tcPr>
          <w:p w:rsidR="009B4310" w:rsidRDefault="009B4310" w:rsidP="0008764F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重大</w:t>
            </w:r>
            <w:proofErr w:type="gramStart"/>
            <w:r>
              <w:rPr>
                <w:rFonts w:hint="eastAsia"/>
                <w:color w:val="002060"/>
              </w:rPr>
              <w:t>傷病險</w:t>
            </w:r>
            <w:proofErr w:type="gramEnd"/>
          </w:p>
        </w:tc>
      </w:tr>
      <w:tr w:rsidR="009B4310" w:rsidTr="0008764F">
        <w:tc>
          <w:tcPr>
            <w:tcW w:w="1825" w:type="dxa"/>
            <w:vMerge/>
          </w:tcPr>
          <w:p w:rsidR="009B4310" w:rsidRDefault="009B4310" w:rsidP="00B42710">
            <w:pPr>
              <w:rPr>
                <w:color w:val="002060"/>
              </w:rPr>
            </w:pPr>
          </w:p>
        </w:tc>
        <w:tc>
          <w:tcPr>
            <w:tcW w:w="1825" w:type="dxa"/>
          </w:tcPr>
          <w:p w:rsidR="009B4310" w:rsidRDefault="009B4310" w:rsidP="00B427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13:30-16:00</w:t>
            </w:r>
          </w:p>
        </w:tc>
        <w:tc>
          <w:tcPr>
            <w:tcW w:w="3404" w:type="dxa"/>
          </w:tcPr>
          <w:p w:rsidR="009B4310" w:rsidRDefault="009B4310" w:rsidP="0008764F">
            <w:pPr>
              <w:rPr>
                <w:color w:val="002060"/>
              </w:rPr>
            </w:pPr>
            <w:r>
              <w:rPr>
                <w:rFonts w:hint="eastAsia"/>
              </w:rPr>
              <w:t>保險需求分析</w:t>
            </w:r>
          </w:p>
        </w:tc>
      </w:tr>
      <w:tr w:rsidR="009B4310" w:rsidTr="0008764F">
        <w:tc>
          <w:tcPr>
            <w:tcW w:w="1825" w:type="dxa"/>
            <w:vMerge/>
          </w:tcPr>
          <w:p w:rsidR="009B4310" w:rsidRDefault="009B4310" w:rsidP="00B42710">
            <w:pPr>
              <w:rPr>
                <w:color w:val="002060"/>
              </w:rPr>
            </w:pPr>
          </w:p>
        </w:tc>
        <w:tc>
          <w:tcPr>
            <w:tcW w:w="1825" w:type="dxa"/>
          </w:tcPr>
          <w:p w:rsidR="009B4310" w:rsidRDefault="009B4310" w:rsidP="00B427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13:30-16:00</w:t>
            </w:r>
          </w:p>
        </w:tc>
        <w:tc>
          <w:tcPr>
            <w:tcW w:w="3404" w:type="dxa"/>
          </w:tcPr>
          <w:p w:rsidR="009B4310" w:rsidRDefault="009B4310" w:rsidP="00B42710">
            <w:pPr>
              <w:rPr>
                <w:color w:val="002060"/>
              </w:rPr>
            </w:pPr>
            <w:r>
              <w:rPr>
                <w:rFonts w:hint="eastAsia"/>
              </w:rPr>
              <w:t>商品建議書的解說要領</w:t>
            </w:r>
          </w:p>
        </w:tc>
      </w:tr>
      <w:tr w:rsidR="009B4310" w:rsidTr="0008764F">
        <w:tc>
          <w:tcPr>
            <w:tcW w:w="1825" w:type="dxa"/>
            <w:vMerge/>
          </w:tcPr>
          <w:p w:rsidR="009B4310" w:rsidRDefault="009B4310" w:rsidP="00B42710">
            <w:pPr>
              <w:rPr>
                <w:color w:val="002060"/>
              </w:rPr>
            </w:pPr>
          </w:p>
        </w:tc>
        <w:tc>
          <w:tcPr>
            <w:tcW w:w="1825" w:type="dxa"/>
          </w:tcPr>
          <w:p w:rsidR="009B4310" w:rsidRDefault="009B4310" w:rsidP="00B427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13:30-16:00</w:t>
            </w:r>
          </w:p>
        </w:tc>
        <w:tc>
          <w:tcPr>
            <w:tcW w:w="3404" w:type="dxa"/>
          </w:tcPr>
          <w:p w:rsidR="009B4310" w:rsidRDefault="009B4310" w:rsidP="00B427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時事議題分享</w:t>
            </w:r>
          </w:p>
        </w:tc>
      </w:tr>
      <w:tr w:rsidR="009B4310" w:rsidTr="00B42710">
        <w:tc>
          <w:tcPr>
            <w:tcW w:w="1825" w:type="dxa"/>
            <w:vMerge w:val="restart"/>
          </w:tcPr>
          <w:p w:rsidR="009B4310" w:rsidRDefault="009B4310" w:rsidP="009B43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5</w:t>
            </w:r>
            <w:r>
              <w:rPr>
                <w:rFonts w:hint="eastAsia"/>
                <w:color w:val="002060"/>
              </w:rPr>
              <w:t>月份</w:t>
            </w:r>
          </w:p>
          <w:p w:rsidR="009B4310" w:rsidRDefault="009B4310" w:rsidP="009B43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9:00-12:00</w:t>
            </w:r>
          </w:p>
          <w:p w:rsidR="009B4310" w:rsidRDefault="009B4310" w:rsidP="009B43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早會時間</w:t>
            </w:r>
          </w:p>
        </w:tc>
        <w:tc>
          <w:tcPr>
            <w:tcW w:w="1825" w:type="dxa"/>
          </w:tcPr>
          <w:p w:rsidR="009B4310" w:rsidRDefault="009B4310" w:rsidP="00B427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13:30-16:00</w:t>
            </w:r>
          </w:p>
        </w:tc>
        <w:tc>
          <w:tcPr>
            <w:tcW w:w="3404" w:type="dxa"/>
          </w:tcPr>
          <w:p w:rsidR="009B4310" w:rsidRDefault="009B4310" w:rsidP="00B42710">
            <w:pPr>
              <w:rPr>
                <w:color w:val="002060"/>
              </w:rPr>
            </w:pPr>
            <w:r>
              <w:rPr>
                <w:rFonts w:hint="eastAsia"/>
              </w:rPr>
              <w:t>如何開拓準保戶</w:t>
            </w:r>
          </w:p>
        </w:tc>
      </w:tr>
      <w:tr w:rsidR="009B4310" w:rsidTr="009B4310">
        <w:trPr>
          <w:trHeight w:val="982"/>
        </w:trPr>
        <w:tc>
          <w:tcPr>
            <w:tcW w:w="1825" w:type="dxa"/>
            <w:vMerge/>
          </w:tcPr>
          <w:p w:rsidR="009B4310" w:rsidRDefault="009B4310" w:rsidP="00B42710">
            <w:pPr>
              <w:rPr>
                <w:color w:val="002060"/>
              </w:rPr>
            </w:pPr>
          </w:p>
        </w:tc>
        <w:tc>
          <w:tcPr>
            <w:tcW w:w="1825" w:type="dxa"/>
          </w:tcPr>
          <w:p w:rsidR="009B4310" w:rsidRDefault="009B4310" w:rsidP="00B427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13:30-16:00</w:t>
            </w:r>
          </w:p>
        </w:tc>
        <w:tc>
          <w:tcPr>
            <w:tcW w:w="3404" w:type="dxa"/>
          </w:tcPr>
          <w:p w:rsidR="009B4310" w:rsidRDefault="009B4310" w:rsidP="00011C04">
            <w:pPr>
              <w:rPr>
                <w:color w:val="002060"/>
              </w:rPr>
            </w:pPr>
            <w:r>
              <w:rPr>
                <w:rFonts w:hint="eastAsia"/>
              </w:rPr>
              <w:t>保單規劃實務</w:t>
            </w:r>
            <w: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)</w:t>
            </w:r>
          </w:p>
        </w:tc>
      </w:tr>
      <w:tr w:rsidR="009B4310" w:rsidTr="00B42710">
        <w:tc>
          <w:tcPr>
            <w:tcW w:w="1825" w:type="dxa"/>
            <w:vMerge w:val="restart"/>
          </w:tcPr>
          <w:p w:rsidR="009B4310" w:rsidRDefault="009B4310" w:rsidP="009B43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6</w:t>
            </w:r>
            <w:r>
              <w:rPr>
                <w:rFonts w:hint="eastAsia"/>
                <w:color w:val="002060"/>
              </w:rPr>
              <w:t>月份</w:t>
            </w:r>
          </w:p>
          <w:p w:rsidR="009B4310" w:rsidRDefault="009B4310" w:rsidP="009B43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9:00-12:00</w:t>
            </w:r>
          </w:p>
          <w:p w:rsidR="009B4310" w:rsidRDefault="009B4310" w:rsidP="009B43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早會時間</w:t>
            </w:r>
          </w:p>
        </w:tc>
        <w:tc>
          <w:tcPr>
            <w:tcW w:w="1825" w:type="dxa"/>
          </w:tcPr>
          <w:p w:rsidR="009B4310" w:rsidRDefault="009B4310" w:rsidP="00B427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13:30-16:00</w:t>
            </w:r>
          </w:p>
        </w:tc>
        <w:tc>
          <w:tcPr>
            <w:tcW w:w="3404" w:type="dxa"/>
          </w:tcPr>
          <w:p w:rsidR="009B4310" w:rsidRDefault="009B4310" w:rsidP="00011C04">
            <w:pPr>
              <w:rPr>
                <w:color w:val="002060"/>
              </w:rPr>
            </w:pPr>
            <w:r>
              <w:rPr>
                <w:rFonts w:hint="eastAsia"/>
              </w:rPr>
              <w:t>保單規劃實務</w:t>
            </w:r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</w:p>
        </w:tc>
      </w:tr>
      <w:tr w:rsidR="009B4310" w:rsidTr="00B42710">
        <w:tc>
          <w:tcPr>
            <w:tcW w:w="1825" w:type="dxa"/>
            <w:vMerge/>
          </w:tcPr>
          <w:p w:rsidR="009B4310" w:rsidRDefault="009B4310" w:rsidP="00B42710">
            <w:pPr>
              <w:rPr>
                <w:color w:val="002060"/>
              </w:rPr>
            </w:pPr>
          </w:p>
        </w:tc>
        <w:tc>
          <w:tcPr>
            <w:tcW w:w="1825" w:type="dxa"/>
          </w:tcPr>
          <w:p w:rsidR="009B4310" w:rsidRDefault="009B4310" w:rsidP="00B427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13:30-16:00</w:t>
            </w:r>
          </w:p>
        </w:tc>
        <w:tc>
          <w:tcPr>
            <w:tcW w:w="3404" w:type="dxa"/>
          </w:tcPr>
          <w:p w:rsidR="009B4310" w:rsidRDefault="009B4310" w:rsidP="00011C04">
            <w:pPr>
              <w:rPr>
                <w:color w:val="002060"/>
              </w:rPr>
            </w:pPr>
            <w:r>
              <w:rPr>
                <w:rFonts w:hint="eastAsia"/>
              </w:rPr>
              <w:t>保單規劃實務</w:t>
            </w:r>
            <w:r>
              <w:t>(</w:t>
            </w:r>
            <w:r>
              <w:rPr>
                <w:rFonts w:hint="eastAsia"/>
              </w:rPr>
              <w:t>三</w:t>
            </w:r>
            <w:r>
              <w:t>)</w:t>
            </w:r>
          </w:p>
        </w:tc>
      </w:tr>
      <w:tr w:rsidR="009B4310" w:rsidTr="009B4310">
        <w:trPr>
          <w:trHeight w:val="662"/>
        </w:trPr>
        <w:tc>
          <w:tcPr>
            <w:tcW w:w="1825" w:type="dxa"/>
            <w:vMerge/>
          </w:tcPr>
          <w:p w:rsidR="009B4310" w:rsidRDefault="009B4310" w:rsidP="00B42710">
            <w:pPr>
              <w:rPr>
                <w:color w:val="002060"/>
              </w:rPr>
            </w:pPr>
          </w:p>
        </w:tc>
        <w:tc>
          <w:tcPr>
            <w:tcW w:w="1825" w:type="dxa"/>
          </w:tcPr>
          <w:p w:rsidR="009B4310" w:rsidRDefault="009B4310" w:rsidP="00B427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13:30-16:00</w:t>
            </w:r>
          </w:p>
        </w:tc>
        <w:tc>
          <w:tcPr>
            <w:tcW w:w="3404" w:type="dxa"/>
          </w:tcPr>
          <w:p w:rsidR="009B4310" w:rsidRDefault="009B4310" w:rsidP="00B42710">
            <w:pPr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一封信</w:t>
            </w:r>
          </w:p>
        </w:tc>
      </w:tr>
    </w:tbl>
    <w:p w:rsidR="0008764F" w:rsidRPr="0008764F" w:rsidRDefault="0008764F" w:rsidP="00C65B20">
      <w:pPr>
        <w:rPr>
          <w:color w:val="002060"/>
        </w:rPr>
      </w:pPr>
    </w:p>
    <w:p w:rsidR="0083431A" w:rsidRDefault="0083431A" w:rsidP="009B4310">
      <w:pPr>
        <w:adjustRightInd w:val="0"/>
        <w:snapToGrid w:val="0"/>
        <w:spacing w:line="360" w:lineRule="auto"/>
        <w:ind w:left="560" w:hangingChars="200" w:hanging="560"/>
        <w:jc w:val="center"/>
        <w:rPr>
          <w:rFonts w:ascii="Times New Roman" w:eastAsia="標楷體" w:hAnsi="標楷體" w:cs="Times New Roman" w:hint="eastAsia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</w:p>
    <w:p w:rsidR="009B4310" w:rsidRPr="00275606" w:rsidRDefault="009B4310" w:rsidP="0083431A">
      <w:pPr>
        <w:adjustRightInd w:val="0"/>
        <w:snapToGrid w:val="0"/>
        <w:spacing w:line="360" w:lineRule="auto"/>
        <w:ind w:left="641" w:hangingChars="200" w:hanging="641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75606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 xml:space="preserve">實習機構基本資料表              </w:t>
      </w:r>
    </w:p>
    <w:p w:rsidR="009B4310" w:rsidRPr="00275606" w:rsidRDefault="009B4310" w:rsidP="009B4310">
      <w:pPr>
        <w:adjustRightInd w:val="0"/>
        <w:snapToGrid w:val="0"/>
        <w:ind w:leftChars="6" w:left="1231" w:hangingChars="507" w:hanging="1217"/>
        <w:rPr>
          <w:rFonts w:ascii="標楷體" w:eastAsia="標楷體" w:hAnsi="標楷體" w:cs="Times New Roman"/>
          <w:szCs w:val="24"/>
        </w:rPr>
      </w:pPr>
    </w:p>
    <w:tbl>
      <w:tblPr>
        <w:tblW w:w="9902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3"/>
        <w:gridCol w:w="8"/>
        <w:gridCol w:w="1252"/>
        <w:gridCol w:w="950"/>
        <w:gridCol w:w="310"/>
        <w:gridCol w:w="411"/>
        <w:gridCol w:w="1029"/>
        <w:gridCol w:w="806"/>
        <w:gridCol w:w="75"/>
        <w:gridCol w:w="794"/>
        <w:gridCol w:w="11"/>
        <w:gridCol w:w="805"/>
        <w:gridCol w:w="806"/>
        <w:gridCol w:w="1082"/>
      </w:tblGrid>
      <w:tr w:rsidR="009B4310" w:rsidRPr="00275606" w:rsidTr="00210AEE">
        <w:trPr>
          <w:trHeight w:val="492"/>
        </w:trPr>
        <w:tc>
          <w:tcPr>
            <w:tcW w:w="1571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132" w:left="1414" w:hangingChars="457" w:hanging="109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公司名稱</w:t>
            </w:r>
          </w:p>
        </w:tc>
        <w:tc>
          <w:tcPr>
            <w:tcW w:w="8331" w:type="dxa"/>
            <w:gridSpan w:val="12"/>
            <w:tcBorders>
              <w:top w:val="thickThinSmallGap" w:sz="24" w:space="0" w:color="auto"/>
              <w:left w:val="single" w:sz="6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安聯人壽保險股份有限公司</w:t>
            </w:r>
          </w:p>
        </w:tc>
      </w:tr>
      <w:tr w:rsidR="009B4310" w:rsidRPr="00275606" w:rsidTr="00210AEE">
        <w:trPr>
          <w:trHeight w:val="454"/>
        </w:trPr>
        <w:tc>
          <w:tcPr>
            <w:tcW w:w="157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182" w:left="1414" w:hangingChars="407" w:hanging="97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負責人</w:t>
            </w:r>
          </w:p>
        </w:tc>
        <w:tc>
          <w:tcPr>
            <w:tcW w:w="2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林順才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156" w:left="1231" w:hangingChars="357" w:hanging="85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統一編號</w:t>
            </w:r>
          </w:p>
        </w:tc>
        <w:tc>
          <w:tcPr>
            <w:tcW w:w="3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89283591</w:t>
            </w:r>
          </w:p>
        </w:tc>
      </w:tr>
      <w:tr w:rsidR="009B4310" w:rsidRPr="00275606" w:rsidTr="00210AEE">
        <w:trPr>
          <w:trHeight w:val="480"/>
        </w:trPr>
        <w:tc>
          <w:tcPr>
            <w:tcW w:w="157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182" w:left="1414" w:hangingChars="407" w:hanging="97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</w:p>
        </w:tc>
        <w:tc>
          <w:tcPr>
            <w:tcW w:w="2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林佩蓁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256" w:left="1231" w:hangingChars="257" w:hanging="61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3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業務襄理</w:t>
            </w:r>
          </w:p>
        </w:tc>
      </w:tr>
      <w:tr w:rsidR="009B4310" w:rsidRPr="00275606" w:rsidTr="00210AEE">
        <w:trPr>
          <w:trHeight w:val="480"/>
        </w:trPr>
        <w:tc>
          <w:tcPr>
            <w:tcW w:w="157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132" w:left="1414" w:hangingChars="457" w:hanging="109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0917818471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256" w:left="1231" w:hangingChars="257" w:hanging="61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傳真</w:t>
            </w:r>
          </w:p>
        </w:tc>
        <w:tc>
          <w:tcPr>
            <w:tcW w:w="3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4310" w:rsidRPr="00275606" w:rsidTr="00210AEE">
        <w:trPr>
          <w:trHeight w:val="480"/>
        </w:trPr>
        <w:tc>
          <w:tcPr>
            <w:tcW w:w="157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132" w:left="1414" w:hangingChars="457" w:hanging="109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公司地址</w:t>
            </w:r>
          </w:p>
        </w:tc>
        <w:tc>
          <w:tcPr>
            <w:tcW w:w="83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434" w:hangingChars="507" w:hanging="1420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 w:val="28"/>
                <w:szCs w:val="28"/>
              </w:rPr>
              <w:t>台中市北屯區崇德路二段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346巷25弄16號2樓</w:t>
            </w:r>
          </w:p>
        </w:tc>
      </w:tr>
      <w:tr w:rsidR="009B4310" w:rsidRPr="00275606" w:rsidTr="00210AEE">
        <w:trPr>
          <w:trHeight w:val="480"/>
        </w:trPr>
        <w:tc>
          <w:tcPr>
            <w:tcW w:w="157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132" w:left="1414" w:hangingChars="457" w:hanging="109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實習地址</w:t>
            </w:r>
          </w:p>
        </w:tc>
        <w:tc>
          <w:tcPr>
            <w:tcW w:w="47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434" w:hangingChars="507" w:hanging="1420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 w:val="28"/>
                <w:szCs w:val="28"/>
              </w:rPr>
              <w:t>台中市北屯區崇德路二段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346巷25弄16號2樓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實習</w:t>
            </w:r>
          </w:p>
          <w:p w:rsidR="009B4310" w:rsidRPr="00275606" w:rsidRDefault="009B4310" w:rsidP="00B42710">
            <w:pPr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部門</w:t>
            </w:r>
          </w:p>
        </w:tc>
        <w:tc>
          <w:tcPr>
            <w:tcW w:w="27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75606">
              <w:rPr>
                <w:rFonts w:ascii="標楷體" w:eastAsia="標楷體" w:hAnsi="標楷體" w:cs="Times New Roman" w:hint="eastAsia"/>
                <w:szCs w:val="24"/>
              </w:rPr>
              <w:t>鋒鼎通訊處</w:t>
            </w:r>
            <w:proofErr w:type="gramEnd"/>
          </w:p>
        </w:tc>
      </w:tr>
      <w:tr w:rsidR="009B4310" w:rsidRPr="00275606" w:rsidTr="00210AEE">
        <w:trPr>
          <w:trHeight w:val="480"/>
        </w:trPr>
        <w:tc>
          <w:tcPr>
            <w:tcW w:w="157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83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/>
                <w:szCs w:val="24"/>
              </w:rPr>
              <w:t>I</w:t>
            </w:r>
            <w:r w:rsidRPr="00275606">
              <w:rPr>
                <w:rFonts w:ascii="標楷體" w:eastAsia="標楷體" w:hAnsi="標楷體" w:cs="Times New Roman" w:hint="eastAsia"/>
                <w:szCs w:val="24"/>
              </w:rPr>
              <w:t>ns0807011@yahoo.com.tw</w:t>
            </w:r>
          </w:p>
        </w:tc>
      </w:tr>
      <w:tr w:rsidR="009B4310" w:rsidRPr="00275606" w:rsidTr="00210AEE">
        <w:trPr>
          <w:trHeight w:val="1388"/>
        </w:trPr>
        <w:tc>
          <w:tcPr>
            <w:tcW w:w="157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132" w:left="1414" w:hangingChars="457" w:hanging="109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公司簡介</w:t>
            </w:r>
          </w:p>
        </w:tc>
        <w:tc>
          <w:tcPr>
            <w:tcW w:w="83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安聯人壽為德國安聯集團的成員之一，成立於1995年，是台灣壽險市場投資型</w:t>
            </w:r>
          </w:p>
          <w:p w:rsidR="009B4310" w:rsidRPr="00275606" w:rsidRDefault="009B4310" w:rsidP="00B42710">
            <w:pPr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保單的領導品牌及創新者之</w:t>
            </w:r>
            <w:proofErr w:type="gramStart"/>
            <w:r w:rsidRPr="0027560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275606">
              <w:rPr>
                <w:rFonts w:ascii="標楷體" w:eastAsia="標楷體" w:hAnsi="標楷體" w:cs="Times New Roman" w:hint="eastAsia"/>
                <w:szCs w:val="24"/>
              </w:rPr>
              <w:t>。以顧客至上的理念，提供客戶創新的產品及滿</w:t>
            </w:r>
          </w:p>
          <w:p w:rsidR="009B4310" w:rsidRPr="00275606" w:rsidRDefault="009B4310" w:rsidP="00B42710">
            <w:pPr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意的服務。擁有國際級保險經驗與豐富的集團資源，致力於多元化的通路發展，</w:t>
            </w:r>
          </w:p>
          <w:p w:rsidR="009B4310" w:rsidRPr="00275606" w:rsidRDefault="009B4310" w:rsidP="00B42710">
            <w:pPr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並依據客戶需求，提供廣泛的人身保險商品，包含：壽險、意外險及健康險等</w:t>
            </w:r>
          </w:p>
          <w:p w:rsidR="009B4310" w:rsidRPr="00275606" w:rsidRDefault="009B4310" w:rsidP="00B42710">
            <w:pPr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服務，給予客戶最周全且完整的保障。</w:t>
            </w:r>
          </w:p>
        </w:tc>
      </w:tr>
      <w:tr w:rsidR="009B4310" w:rsidRPr="00275606" w:rsidTr="00210AEE">
        <w:trPr>
          <w:trHeight w:val="480"/>
        </w:trPr>
        <w:tc>
          <w:tcPr>
            <w:tcW w:w="1571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111" w:left="1363" w:hangingChars="457" w:hanging="109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實習時間</w:t>
            </w:r>
          </w:p>
        </w:tc>
        <w:tc>
          <w:tcPr>
            <w:tcW w:w="8331" w:type="dxa"/>
            <w:gridSpan w:val="1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B4310" w:rsidRDefault="009B4310" w:rsidP="0083431A">
            <w:pPr>
              <w:ind w:leftChars="6" w:left="1231" w:hangingChars="507" w:hanging="1217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109</w:t>
            </w:r>
            <w:r w:rsidRPr="00275606">
              <w:rPr>
                <w:rFonts w:ascii="標楷體" w:eastAsia="標楷體" w:hAnsi="標楷體" w:cs="Times New Roman" w:hint="eastAsia"/>
                <w:szCs w:val="24"/>
              </w:rPr>
              <w:t xml:space="preserve"> 年</w:t>
            </w:r>
            <w:r w:rsidR="0083431A">
              <w:rPr>
                <w:rFonts w:ascii="標楷體" w:eastAsia="標楷體" w:hAnsi="標楷體" w:cs="Times New Roman" w:hint="eastAsia"/>
                <w:szCs w:val="24"/>
              </w:rPr>
              <w:t xml:space="preserve">  7</w:t>
            </w:r>
            <w:r w:rsidRPr="00275606">
              <w:rPr>
                <w:rFonts w:ascii="標楷體" w:eastAsia="標楷體" w:hAnsi="標楷體" w:cs="Times New Roman" w:hint="eastAsia"/>
                <w:szCs w:val="24"/>
              </w:rPr>
              <w:t xml:space="preserve"> 月</w:t>
            </w:r>
            <w:r w:rsidR="0083431A">
              <w:rPr>
                <w:rFonts w:ascii="標楷體" w:eastAsia="標楷體" w:hAnsi="標楷體" w:cs="Times New Roman" w:hint="eastAsia"/>
                <w:szCs w:val="24"/>
              </w:rPr>
              <w:t xml:space="preserve"> 6日</w:t>
            </w:r>
            <w:r w:rsidRPr="00275606">
              <w:rPr>
                <w:rFonts w:ascii="標楷體" w:eastAsia="標楷體" w:hAnsi="標楷體" w:cs="Times New Roman" w:hint="eastAsia"/>
                <w:szCs w:val="24"/>
              </w:rPr>
              <w:t xml:space="preserve"> 至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109</w:t>
            </w:r>
            <w:r w:rsidRPr="00275606">
              <w:rPr>
                <w:rFonts w:ascii="標楷體" w:eastAsia="標楷體" w:hAnsi="標楷體" w:cs="Times New Roman" w:hint="eastAsia"/>
                <w:szCs w:val="24"/>
              </w:rPr>
              <w:t xml:space="preserve">  年</w:t>
            </w:r>
            <w:r w:rsidR="0083431A">
              <w:rPr>
                <w:rFonts w:ascii="標楷體" w:eastAsia="標楷體" w:hAnsi="標楷體" w:cs="Times New Roman" w:hint="eastAsia"/>
                <w:szCs w:val="24"/>
              </w:rPr>
              <w:t xml:space="preserve"> 8</w:t>
            </w:r>
            <w:r w:rsidRPr="00275606">
              <w:rPr>
                <w:rFonts w:ascii="標楷體" w:eastAsia="標楷體" w:hAnsi="標楷體" w:cs="Times New Roman" w:hint="eastAsia"/>
                <w:szCs w:val="24"/>
              </w:rPr>
              <w:t xml:space="preserve"> 月</w:t>
            </w:r>
            <w:r w:rsidR="0083431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27560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3431A">
              <w:rPr>
                <w:rFonts w:ascii="標楷體" w:eastAsia="標楷體" w:hAnsi="標楷體" w:cs="Times New Roman" w:hint="eastAsia"/>
                <w:szCs w:val="24"/>
              </w:rPr>
              <w:t>28</w:t>
            </w:r>
            <w:r w:rsidRPr="00275606">
              <w:rPr>
                <w:rFonts w:ascii="標楷體" w:eastAsia="標楷體" w:hAnsi="標楷體" w:cs="Times New Roman" w:hint="eastAsia"/>
                <w:szCs w:val="24"/>
              </w:rPr>
              <w:t xml:space="preserve">日 </w:t>
            </w:r>
          </w:p>
          <w:p w:rsidR="0083431A" w:rsidRPr="00275606" w:rsidRDefault="0083431A" w:rsidP="0083431A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109年 9月 7日至 110年1 月22</w:t>
            </w:r>
            <w:bookmarkStart w:id="0" w:name="_GoBack"/>
            <w:bookmarkEnd w:id="0"/>
          </w:p>
        </w:tc>
      </w:tr>
      <w:tr w:rsidR="009B4310" w:rsidRPr="00275606" w:rsidTr="00210AEE">
        <w:trPr>
          <w:trHeight w:val="816"/>
        </w:trPr>
        <w:tc>
          <w:tcPr>
            <w:tcW w:w="157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132" w:left="1415" w:hangingChars="457" w:hanging="1098"/>
              <w:rPr>
                <w:rFonts w:ascii="標楷體" w:eastAsia="標楷體" w:hAnsi="標楷體" w:cs="Times New Roman"/>
                <w:b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b/>
                <w:szCs w:val="24"/>
              </w:rPr>
              <w:t>實習系別</w:t>
            </w:r>
          </w:p>
        </w:tc>
        <w:tc>
          <w:tcPr>
            <w:tcW w:w="2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2" w:hangingChars="507" w:hanging="121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b/>
                <w:szCs w:val="24"/>
              </w:rPr>
              <w:t>實習工作項目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2" w:hangingChars="507" w:hanging="121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b/>
                <w:szCs w:val="24"/>
              </w:rPr>
              <w:t>名額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2" w:hangingChars="507" w:hanging="121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b/>
                <w:szCs w:val="24"/>
              </w:rPr>
              <w:t>薪資/津貼</w:t>
            </w:r>
          </w:p>
        </w:tc>
        <w:tc>
          <w:tcPr>
            <w:tcW w:w="3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2" w:hangingChars="507" w:hanging="121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9B4310" w:rsidRPr="00275606" w:rsidTr="00210AEE">
        <w:trPr>
          <w:trHeight w:val="816"/>
        </w:trPr>
        <w:tc>
          <w:tcPr>
            <w:tcW w:w="157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076EC8" w:rsidP="00B42710">
            <w:pPr>
              <w:ind w:leftChars="82" w:left="1414" w:hangingChars="507" w:hanging="1217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商學院</w:t>
            </w:r>
          </w:p>
        </w:tc>
        <w:tc>
          <w:tcPr>
            <w:tcW w:w="2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129" w:hangingChars="507" w:hanging="1115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 w:val="22"/>
                <w:szCs w:val="24"/>
              </w:rPr>
              <w:t>協助金融市場調查/</w:t>
            </w:r>
          </w:p>
          <w:p w:rsidR="009B4310" w:rsidRPr="00275606" w:rsidRDefault="009B4310" w:rsidP="00B42710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 w:val="22"/>
                <w:szCs w:val="24"/>
              </w:rPr>
              <w:t>金融產業分析/行銷管理 /數位行銷/財務金融規劃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1" w:hangingChars="507" w:hanging="1217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4310" w:rsidRPr="00275606" w:rsidRDefault="009B4310" w:rsidP="00B42710">
            <w:pPr>
              <w:shd w:val="clear" w:color="auto" w:fill="FFFFFF" w:themeFill="background1"/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□有     元/月</w:t>
            </w:r>
          </w:p>
          <w:p w:rsidR="009B4310" w:rsidRPr="00275606" w:rsidRDefault="009B4310" w:rsidP="00B42710">
            <w:pPr>
              <w:shd w:val="clear" w:color="auto" w:fill="FFFFFF" w:themeFill="background1"/>
              <w:ind w:leftChars="6" w:left="1434" w:hangingChars="507" w:hanging="1420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52"/>
            </w:r>
            <w:r w:rsidRPr="00275606">
              <w:rPr>
                <w:rFonts w:ascii="標楷體" w:eastAsia="標楷體" w:hAnsi="標楷體" w:cs="Times New Roman" w:hint="eastAsia"/>
                <w:szCs w:val="24"/>
              </w:rPr>
              <w:t>無</w:t>
            </w:r>
          </w:p>
        </w:tc>
        <w:tc>
          <w:tcPr>
            <w:tcW w:w="3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B4310" w:rsidRPr="00275606" w:rsidRDefault="009B4310" w:rsidP="00B42710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4310" w:rsidRPr="00275606" w:rsidTr="00210AEE">
        <w:trPr>
          <w:trHeight w:val="637"/>
        </w:trPr>
        <w:tc>
          <w:tcPr>
            <w:tcW w:w="157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82" w:left="1414" w:hangingChars="507" w:hanging="1217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1" w:hangingChars="507" w:hanging="1217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1" w:hangingChars="507" w:hanging="1217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□有     元/月</w:t>
            </w:r>
          </w:p>
          <w:p w:rsidR="009B4310" w:rsidRPr="00275606" w:rsidRDefault="009B4310" w:rsidP="00B42710">
            <w:pPr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□無</w:t>
            </w:r>
          </w:p>
        </w:tc>
        <w:tc>
          <w:tcPr>
            <w:tcW w:w="3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B4310" w:rsidRPr="00275606" w:rsidRDefault="009B4310" w:rsidP="00B42710">
            <w:pPr>
              <w:snapToGrid w:val="0"/>
              <w:spacing w:line="240" w:lineRule="atLeast"/>
              <w:ind w:leftChars="200" w:left="509" w:hangingChars="12" w:hanging="29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4310" w:rsidRPr="00275606" w:rsidTr="00210AEE">
        <w:trPr>
          <w:trHeight w:val="375"/>
        </w:trPr>
        <w:tc>
          <w:tcPr>
            <w:tcW w:w="156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B4310" w:rsidRPr="00275606" w:rsidRDefault="009B4310" w:rsidP="00B42710">
            <w:pPr>
              <w:ind w:left="1414" w:hangingChars="589" w:hanging="141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Cs w:val="24"/>
              </w:rPr>
              <w:t>公司福利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129" w:hangingChars="507" w:hanging="1115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75606">
              <w:rPr>
                <w:rFonts w:ascii="標楷體" w:eastAsia="標楷體" w:hAnsi="標楷體" w:cs="Times New Roman" w:hint="eastAsia"/>
                <w:sz w:val="22"/>
              </w:rPr>
              <w:t>交通津貼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129" w:hangingChars="507" w:hanging="1115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75606">
              <w:rPr>
                <w:rFonts w:ascii="標楷體" w:eastAsia="標楷體" w:hAnsi="標楷體" w:cs="Times New Roman" w:hint="eastAsia"/>
                <w:sz w:val="22"/>
              </w:rPr>
              <w:t>伙食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129" w:hangingChars="507" w:hanging="1115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75606">
              <w:rPr>
                <w:rFonts w:ascii="標楷體" w:eastAsia="標楷體" w:hAnsi="標楷體" w:cs="Times New Roman" w:hint="eastAsia"/>
                <w:sz w:val="22"/>
              </w:rPr>
              <w:t>宿舍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10" w:rsidRPr="00275606" w:rsidRDefault="009B4310" w:rsidP="00B42710">
            <w:pPr>
              <w:ind w:leftChars="6" w:left="1129" w:hangingChars="507" w:hanging="1115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75606">
              <w:rPr>
                <w:rFonts w:ascii="標楷體" w:eastAsia="標楷體" w:hAnsi="標楷體" w:cs="Times New Roman" w:hint="eastAsia"/>
                <w:sz w:val="22"/>
              </w:rPr>
              <w:t>勞保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10" w:rsidRPr="00275606" w:rsidRDefault="009B4310" w:rsidP="00B42710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75606">
              <w:rPr>
                <w:rFonts w:ascii="標楷體" w:eastAsia="標楷體" w:hAnsi="標楷體" w:cs="Times New Roman" w:hint="eastAsia"/>
                <w:sz w:val="22"/>
              </w:rPr>
              <w:t>健保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10" w:rsidRPr="00275606" w:rsidRDefault="009B4310" w:rsidP="00B42710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75606">
              <w:rPr>
                <w:rFonts w:ascii="標楷體" w:eastAsia="標楷體" w:hAnsi="標楷體" w:cs="Times New Roman" w:hint="eastAsia"/>
                <w:sz w:val="22"/>
              </w:rPr>
              <w:t>勞退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10" w:rsidRPr="00275606" w:rsidRDefault="009B4310" w:rsidP="00B42710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75606">
              <w:rPr>
                <w:rFonts w:ascii="標楷體" w:eastAsia="標楷體" w:hAnsi="標楷體" w:cs="Times New Roman" w:hint="eastAsia"/>
                <w:sz w:val="22"/>
              </w:rPr>
              <w:t>意外險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B4310" w:rsidRPr="00275606" w:rsidRDefault="009B4310" w:rsidP="00B42710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75606">
              <w:rPr>
                <w:rFonts w:ascii="標楷體" w:eastAsia="標楷體" w:hAnsi="標楷體" w:cs="Times New Roman" w:hint="eastAsia"/>
                <w:sz w:val="22"/>
              </w:rPr>
              <w:t>其他</w:t>
            </w:r>
          </w:p>
        </w:tc>
      </w:tr>
      <w:tr w:rsidR="009B4310" w:rsidRPr="00275606" w:rsidTr="00210AEE">
        <w:trPr>
          <w:trHeight w:val="240"/>
        </w:trPr>
        <w:tc>
          <w:tcPr>
            <w:tcW w:w="156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B4310" w:rsidRPr="00275606" w:rsidRDefault="009B4310" w:rsidP="00B42710">
            <w:pPr>
              <w:snapToGrid w:val="0"/>
              <w:spacing w:line="240" w:lineRule="atLeast"/>
              <w:ind w:leftChars="200" w:left="509" w:hangingChars="12" w:hanging="29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B4310" w:rsidRPr="00275606" w:rsidRDefault="009B4310" w:rsidP="00B42710">
            <w:pPr>
              <w:rPr>
                <w:rFonts w:ascii="標楷體" w:eastAsia="標楷體" w:hAnsi="標楷體" w:cs="Times New Roman"/>
                <w:sz w:val="22"/>
              </w:rPr>
            </w:pPr>
            <w:r w:rsidRPr="00275606">
              <w:rPr>
                <w:rFonts w:ascii="標楷體" w:eastAsia="標楷體" w:hAnsi="標楷體" w:cs="Times New Roman" w:hint="eastAsia"/>
                <w:sz w:val="22"/>
              </w:rPr>
              <w:t>□免費</w:t>
            </w:r>
          </w:p>
          <w:p w:rsidR="009B4310" w:rsidRPr="00275606" w:rsidRDefault="009B4310" w:rsidP="00B42710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52"/>
            </w:r>
            <w:r w:rsidRPr="00275606">
              <w:rPr>
                <w:rFonts w:ascii="標楷體" w:eastAsia="標楷體" w:hAnsi="標楷體" w:cs="Times New Roman" w:hint="eastAsia"/>
                <w:sz w:val="22"/>
              </w:rPr>
              <w:t>不提供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B4310" w:rsidRPr="00275606" w:rsidRDefault="009B4310" w:rsidP="00B42710">
            <w:pPr>
              <w:rPr>
                <w:rFonts w:ascii="標楷體" w:eastAsia="標楷體" w:hAnsi="標楷體" w:cs="Times New Roman"/>
                <w:sz w:val="22"/>
              </w:rPr>
            </w:pPr>
            <w:r w:rsidRPr="00275606">
              <w:rPr>
                <w:rFonts w:ascii="標楷體" w:eastAsia="標楷體" w:hAnsi="標楷體" w:cs="Times New Roman" w:hint="eastAsia"/>
                <w:sz w:val="22"/>
              </w:rPr>
              <w:t>□免費</w:t>
            </w:r>
          </w:p>
          <w:p w:rsidR="009B4310" w:rsidRPr="00275606" w:rsidRDefault="009B4310" w:rsidP="00B42710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52"/>
            </w:r>
            <w:r w:rsidRPr="00275606">
              <w:rPr>
                <w:rFonts w:ascii="標楷體" w:eastAsia="標楷體" w:hAnsi="標楷體" w:cs="Times New Roman" w:hint="eastAsia"/>
                <w:sz w:val="22"/>
              </w:rPr>
              <w:t>不提供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B4310" w:rsidRPr="00275606" w:rsidRDefault="009B4310" w:rsidP="00B42710">
            <w:pPr>
              <w:rPr>
                <w:rFonts w:ascii="標楷體" w:eastAsia="標楷體" w:hAnsi="標楷體" w:cs="Times New Roman"/>
                <w:sz w:val="22"/>
              </w:rPr>
            </w:pPr>
            <w:r w:rsidRPr="00275606">
              <w:rPr>
                <w:rFonts w:ascii="標楷體" w:eastAsia="標楷體" w:hAnsi="標楷體" w:cs="Times New Roman" w:hint="eastAsia"/>
                <w:sz w:val="22"/>
              </w:rPr>
              <w:t>□提供</w:t>
            </w:r>
          </w:p>
          <w:p w:rsidR="009B4310" w:rsidRPr="00275606" w:rsidRDefault="009B4310" w:rsidP="00B42710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52"/>
            </w:r>
            <w:r w:rsidRPr="00275606">
              <w:rPr>
                <w:rFonts w:ascii="標楷體" w:eastAsia="標楷體" w:hAnsi="標楷體" w:cs="Times New Roman" w:hint="eastAsia"/>
                <w:sz w:val="22"/>
              </w:rPr>
              <w:t>不提供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4310" w:rsidRPr="00275606" w:rsidRDefault="004D087C" w:rsidP="00B42710">
            <w:pPr>
              <w:ind w:leftChars="6" w:left="1129" w:hangingChars="507" w:hanging="1115"/>
              <w:rPr>
                <w:rFonts w:ascii="標楷體" w:eastAsia="標楷體" w:hAnsi="標楷體" w:cs="Times New Roman"/>
                <w:sz w:val="22"/>
              </w:rPr>
            </w:pPr>
            <w:r w:rsidRPr="0027560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9B4310" w:rsidRPr="00275606">
              <w:rPr>
                <w:rFonts w:ascii="標楷體" w:eastAsia="標楷體" w:hAnsi="標楷體" w:cs="Times New Roman" w:hint="eastAsia"/>
                <w:sz w:val="22"/>
              </w:rPr>
              <w:t>有</w:t>
            </w:r>
          </w:p>
          <w:p w:rsidR="009B4310" w:rsidRPr="00275606" w:rsidRDefault="004D087C" w:rsidP="00B42710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52"/>
            </w:r>
            <w:r w:rsidR="009B4310" w:rsidRPr="00275606">
              <w:rPr>
                <w:rFonts w:ascii="標楷體" w:eastAsia="標楷體" w:hAnsi="標楷體" w:cs="Times New Roman" w:hint="eastAsia"/>
                <w:sz w:val="22"/>
              </w:rPr>
              <w:t>無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4310" w:rsidRPr="00275606" w:rsidRDefault="004D087C" w:rsidP="00B42710">
            <w:pPr>
              <w:ind w:leftChars="6" w:left="1129" w:hangingChars="507" w:hanging="1115"/>
              <w:rPr>
                <w:rFonts w:ascii="標楷體" w:eastAsia="標楷體" w:hAnsi="標楷體" w:cs="Times New Roman"/>
                <w:sz w:val="22"/>
              </w:rPr>
            </w:pPr>
            <w:r w:rsidRPr="0027560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9B4310" w:rsidRPr="00275606">
              <w:rPr>
                <w:rFonts w:ascii="標楷體" w:eastAsia="標楷體" w:hAnsi="標楷體" w:cs="Times New Roman" w:hint="eastAsia"/>
                <w:sz w:val="22"/>
              </w:rPr>
              <w:t>有</w:t>
            </w:r>
          </w:p>
          <w:p w:rsidR="009B4310" w:rsidRPr="00275606" w:rsidRDefault="004D087C" w:rsidP="00B42710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52"/>
            </w:r>
            <w:r w:rsidR="009B4310" w:rsidRPr="00275606">
              <w:rPr>
                <w:rFonts w:ascii="標楷體" w:eastAsia="標楷體" w:hAnsi="標楷體" w:cs="Times New Roman" w:hint="eastAsia"/>
                <w:sz w:val="22"/>
              </w:rPr>
              <w:t>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4310" w:rsidRPr="00275606" w:rsidRDefault="009B4310" w:rsidP="00B42710">
            <w:pPr>
              <w:ind w:leftChars="6" w:left="1129" w:hangingChars="507" w:hanging="1115"/>
              <w:rPr>
                <w:rFonts w:ascii="標楷體" w:eastAsia="標楷體" w:hAnsi="標楷體" w:cs="Times New Roman"/>
                <w:sz w:val="22"/>
              </w:rPr>
            </w:pPr>
            <w:r w:rsidRPr="00275606">
              <w:rPr>
                <w:rFonts w:ascii="標楷體" w:eastAsia="標楷體" w:hAnsi="標楷體" w:cs="Times New Roman" w:hint="eastAsia"/>
                <w:sz w:val="22"/>
              </w:rPr>
              <w:t>□有</w:t>
            </w:r>
          </w:p>
          <w:p w:rsidR="009B4310" w:rsidRPr="00275606" w:rsidRDefault="009B4310" w:rsidP="00B42710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52"/>
            </w:r>
            <w:r w:rsidRPr="00275606">
              <w:rPr>
                <w:rFonts w:ascii="標楷體" w:eastAsia="標楷體" w:hAnsi="標楷體" w:cs="Times New Roman" w:hint="eastAsia"/>
                <w:sz w:val="22"/>
              </w:rPr>
              <w:t>無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4310" w:rsidRPr="00275606" w:rsidRDefault="009B4310" w:rsidP="00B42710">
            <w:pPr>
              <w:ind w:leftChars="6" w:left="1434" w:hangingChars="507" w:hanging="1420"/>
              <w:rPr>
                <w:rFonts w:ascii="標楷體" w:eastAsia="標楷體" w:hAnsi="標楷體" w:cs="Times New Roman"/>
                <w:sz w:val="22"/>
              </w:rPr>
            </w:pPr>
            <w:r w:rsidRPr="00275606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52"/>
            </w:r>
            <w:r w:rsidRPr="00275606">
              <w:rPr>
                <w:rFonts w:ascii="標楷體" w:eastAsia="標楷體" w:hAnsi="標楷體" w:cs="Times New Roman" w:hint="eastAsia"/>
                <w:sz w:val="22"/>
              </w:rPr>
              <w:t>有</w:t>
            </w:r>
          </w:p>
          <w:p w:rsidR="009B4310" w:rsidRPr="00275606" w:rsidRDefault="009B4310" w:rsidP="00B42710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75606">
              <w:rPr>
                <w:rFonts w:ascii="標楷體" w:eastAsia="標楷體" w:hAnsi="標楷體" w:cs="Times New Roman" w:hint="eastAsia"/>
                <w:sz w:val="22"/>
              </w:rPr>
              <w:t>□無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9B4310" w:rsidRPr="00275606" w:rsidRDefault="009B4310" w:rsidP="00B42710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C65B20" w:rsidRDefault="00C65B20" w:rsidP="00C65B20"/>
    <w:sectPr w:rsidR="00C65B20" w:rsidSect="00DA2D94"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20"/>
    <w:rsid w:val="00076EC8"/>
    <w:rsid w:val="0008764F"/>
    <w:rsid w:val="00210AEE"/>
    <w:rsid w:val="00344206"/>
    <w:rsid w:val="003B479A"/>
    <w:rsid w:val="004D087C"/>
    <w:rsid w:val="00805570"/>
    <w:rsid w:val="0083431A"/>
    <w:rsid w:val="0084042A"/>
    <w:rsid w:val="009B4310"/>
    <w:rsid w:val="00C65B20"/>
    <w:rsid w:val="00C82681"/>
    <w:rsid w:val="00CD11BB"/>
    <w:rsid w:val="00D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20150620</cp:lastModifiedBy>
  <cp:revision>3</cp:revision>
  <dcterms:created xsi:type="dcterms:W3CDTF">2020-05-18T16:02:00Z</dcterms:created>
  <dcterms:modified xsi:type="dcterms:W3CDTF">2020-05-18T16:05:00Z</dcterms:modified>
</cp:coreProperties>
</file>